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714B9" w14:textId="77777777" w:rsidR="00C94F0A" w:rsidRDefault="00C94F0A" w:rsidP="004C128E">
      <w:pPr>
        <w:pStyle w:val="Appendix1"/>
        <w:ind w:hanging="2438"/>
      </w:pPr>
      <w:bookmarkStart w:id="0" w:name="_Toc142479534"/>
      <w:bookmarkStart w:id="1" w:name="_Toc239769300"/>
      <w:r>
        <w:t>S</w:t>
      </w:r>
      <w:r w:rsidRPr="007E6072">
        <w:t>ubmission</w:t>
      </w:r>
      <w:r>
        <w:t xml:space="preserve"> form</w:t>
      </w:r>
      <w:bookmarkEnd w:id="1"/>
    </w:p>
    <w:p w14:paraId="5D12BF84" w14:textId="7853C57F" w:rsidR="00C94F0A" w:rsidRDefault="00C94F0A" w:rsidP="00C94F0A">
      <w:pPr>
        <w:pStyle w:val="ExecSumm-Normal"/>
        <w:rPr>
          <w:rStyle w:val="Bold"/>
        </w:rPr>
      </w:pPr>
      <w:r>
        <w:rPr>
          <w:rStyle w:val="Bold"/>
        </w:rPr>
        <w:t xml:space="preserve">Review of </w:t>
      </w:r>
      <w:r w:rsidR="00992F39">
        <w:rPr>
          <w:rStyle w:val="Bold"/>
        </w:rPr>
        <w:t>s</w:t>
      </w:r>
      <w:r>
        <w:rPr>
          <w:rStyle w:val="Bold"/>
        </w:rPr>
        <w:t xml:space="preserve">ecurity </w:t>
      </w:r>
      <w:r w:rsidR="00992F39">
        <w:rPr>
          <w:rStyle w:val="Bold"/>
        </w:rPr>
        <w:t>of supply s</w:t>
      </w:r>
      <w:r>
        <w:rPr>
          <w:rStyle w:val="Bold"/>
        </w:rPr>
        <w:t>tandards</w:t>
      </w:r>
    </w:p>
    <w:p w14:paraId="334A21A4" w14:textId="150808D8" w:rsidR="00C94F0A" w:rsidRPr="00992F39" w:rsidRDefault="00C94F0A" w:rsidP="00C94F0A">
      <w:pPr>
        <w:pStyle w:val="ExecSumm-Normal"/>
        <w:rPr>
          <w:rStyle w:val="Normal-reset"/>
          <w:color w:val="auto"/>
        </w:rPr>
      </w:pPr>
      <w:r w:rsidRPr="00804E2B">
        <w:rPr>
          <w:rStyle w:val="Normal-reset"/>
        </w:rPr>
        <w:t xml:space="preserve">Please email your </w:t>
      </w:r>
      <w:r>
        <w:rPr>
          <w:rStyle w:val="Normal-reset"/>
        </w:rPr>
        <w:t xml:space="preserve">submission </w:t>
      </w:r>
      <w:r w:rsidRPr="00992F39">
        <w:rPr>
          <w:rStyle w:val="Normal-reset"/>
          <w:color w:val="auto"/>
        </w:rPr>
        <w:t xml:space="preserve">to </w:t>
      </w:r>
      <w:hyperlink r:id="rId11" w:history="1">
        <w:r w:rsidRPr="00992F39">
          <w:rPr>
            <w:rStyle w:val="Hyperlink"/>
            <w:color w:val="auto"/>
          </w:rPr>
          <w:t>operationsconsult@ea.govt.nz</w:t>
        </w:r>
      </w:hyperlink>
      <w:r w:rsidRPr="00992F39">
        <w:rPr>
          <w:rStyle w:val="Normal-reset"/>
          <w:color w:val="auto"/>
        </w:rPr>
        <w:t xml:space="preserve"> by 5pm, </w:t>
      </w:r>
      <w:sdt>
        <w:sdtPr>
          <w:rPr>
            <w:rStyle w:val="Normal-reset"/>
            <w:color w:val="auto"/>
          </w:rPr>
          <w:id w:val="759643726"/>
          <w:placeholder>
            <w:docPart w:val="610D64899DCC4E50BFD804582607E248"/>
          </w:placeholder>
          <w:date w:fullDate="2026-11-17T00:00:00Z">
            <w:dateFormat w:val="dddd d MMMM yyyy"/>
            <w:lid w:val="en-NZ"/>
            <w:storeMappedDataAs w:val="dateTime"/>
            <w:calendar w:val="gregorian"/>
          </w:date>
        </w:sdtPr>
        <w:sdtEndPr>
          <w:rPr>
            <w:rStyle w:val="Normal-reset"/>
          </w:rPr>
        </w:sdtEndPr>
        <w:sdtContent>
          <w:r w:rsidR="00515BBD">
            <w:rPr>
              <w:rStyle w:val="Normal-reset"/>
              <w:color w:val="auto"/>
              <w:lang w:val="en-NZ"/>
            </w:rPr>
            <w:t>Tuesday 17 November 2026</w:t>
          </w:r>
        </w:sdtContent>
      </w:sdt>
    </w:p>
    <w:tbl>
      <w:tblPr>
        <w:tblStyle w:val="EATable"/>
        <w:tblW w:w="0" w:type="auto"/>
        <w:tblInd w:w="-5" w:type="dxa"/>
        <w:tblLook w:val="0480" w:firstRow="0" w:lastRow="0" w:firstColumn="1" w:lastColumn="0" w:noHBand="0" w:noVBand="1"/>
      </w:tblPr>
      <w:tblGrid>
        <w:gridCol w:w="3768"/>
        <w:gridCol w:w="5253"/>
      </w:tblGrid>
      <w:tr w:rsidR="00C94F0A" w14:paraId="177389A2" w14:textId="77777777" w:rsidTr="00992F3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3969" w:type="dxa"/>
          </w:tcPr>
          <w:p w14:paraId="3DF95FA1" w14:textId="77777777" w:rsidR="00C94F0A" w:rsidRPr="007E6072" w:rsidRDefault="00C94F0A" w:rsidP="00E62C78">
            <w:pPr>
              <w:pStyle w:val="TableHeader"/>
            </w:pPr>
            <w:r>
              <w:t>Name</w:t>
            </w:r>
          </w:p>
        </w:tc>
        <w:tc>
          <w:tcPr>
            <w:tcW w:w="5657" w:type="dxa"/>
            <w:shd w:val="clear" w:color="auto" w:fill="FFFFFF" w:themeFill="background1"/>
          </w:tcPr>
          <w:p w14:paraId="22D66F2B" w14:textId="77777777" w:rsidR="00C94F0A" w:rsidRPr="007E6072" w:rsidRDefault="00C94F0A" w:rsidP="00E62C78">
            <w:pPr>
              <w:pStyle w:val="TableText"/>
              <w:cnfStyle w:val="000000100000" w:firstRow="0" w:lastRow="0" w:firstColumn="0" w:lastColumn="0" w:oddVBand="0" w:evenVBand="0" w:oddHBand="1" w:evenHBand="0" w:firstRowFirstColumn="0" w:firstRowLastColumn="0" w:lastRowFirstColumn="0" w:lastRowLastColumn="0"/>
            </w:pPr>
          </w:p>
        </w:tc>
      </w:tr>
      <w:tr w:rsidR="00C94F0A" w14:paraId="2D9E6B8A" w14:textId="77777777" w:rsidTr="00992F39">
        <w:trPr>
          <w:cnfStyle w:val="000000010000" w:firstRow="0" w:lastRow="0" w:firstColumn="0" w:lastColumn="0" w:oddVBand="0" w:evenVBand="0" w:oddHBand="0" w:evenHBand="1"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3969" w:type="dxa"/>
          </w:tcPr>
          <w:p w14:paraId="4673CA7E" w14:textId="77777777" w:rsidR="00C94F0A" w:rsidRDefault="00C94F0A" w:rsidP="00E62C78">
            <w:pPr>
              <w:pStyle w:val="TableHeader"/>
            </w:pPr>
            <w:r>
              <w:t>Organisation</w:t>
            </w:r>
          </w:p>
        </w:tc>
        <w:tc>
          <w:tcPr>
            <w:tcW w:w="5657" w:type="dxa"/>
            <w:shd w:val="clear" w:color="auto" w:fill="FFFFFF" w:themeFill="background1"/>
          </w:tcPr>
          <w:p w14:paraId="632C17EB" w14:textId="77777777" w:rsidR="00C94F0A" w:rsidRPr="007E6072" w:rsidRDefault="00C94F0A" w:rsidP="00E62C78">
            <w:pPr>
              <w:pStyle w:val="TableText"/>
              <w:cnfStyle w:val="000000010000" w:firstRow="0" w:lastRow="0" w:firstColumn="0" w:lastColumn="0" w:oddVBand="0" w:evenVBand="0" w:oddHBand="0" w:evenHBand="1" w:firstRowFirstColumn="0" w:firstRowLastColumn="0" w:lastRowFirstColumn="0" w:lastRowLastColumn="0"/>
            </w:pPr>
          </w:p>
        </w:tc>
      </w:tr>
    </w:tbl>
    <w:p w14:paraId="31904674" w14:textId="77777777" w:rsidR="00C94F0A" w:rsidRPr="007E6072" w:rsidRDefault="00C94F0A" w:rsidP="00C94F0A"/>
    <w:tbl>
      <w:tblPr>
        <w:tblStyle w:val="EATable"/>
        <w:tblW w:w="0" w:type="auto"/>
        <w:tblInd w:w="-5" w:type="dxa"/>
        <w:tblCellMar>
          <w:top w:w="0" w:type="dxa"/>
          <w:left w:w="0" w:type="dxa"/>
          <w:bottom w:w="0" w:type="dxa"/>
          <w:right w:w="0" w:type="dxa"/>
        </w:tblCellMar>
        <w:tblLook w:val="04A0" w:firstRow="1" w:lastRow="0" w:firstColumn="1" w:lastColumn="0" w:noHBand="0" w:noVBand="1"/>
      </w:tblPr>
      <w:tblGrid>
        <w:gridCol w:w="3741"/>
        <w:gridCol w:w="5270"/>
      </w:tblGrid>
      <w:tr w:rsidR="00C94F0A" w14:paraId="124CCE77" w14:textId="77777777" w:rsidTr="00E62C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single" w:sz="8" w:space="0" w:color="002B49"/>
              <w:left w:val="single" w:sz="8" w:space="0" w:color="002B49"/>
              <w:bottom w:val="single" w:sz="8" w:space="0" w:color="002B49"/>
              <w:right w:val="single" w:sz="8" w:space="0" w:color="002B49"/>
            </w:tcBorders>
            <w:tcMar>
              <w:right w:w="28" w:type="dxa"/>
            </w:tcMar>
            <w:hideMark/>
          </w:tcPr>
          <w:bookmarkEnd w:id="0"/>
          <w:p w14:paraId="06EBA843" w14:textId="77777777" w:rsidR="00C94F0A" w:rsidRDefault="00C94F0A" w:rsidP="00E62C78">
            <w:pPr>
              <w:pStyle w:val="TableHeader"/>
              <w:rPr>
                <w:color w:val="FFFFFF"/>
                <w:kern w:val="2"/>
              </w:rPr>
            </w:pPr>
            <w:r>
              <w:t>Questions</w:t>
            </w:r>
          </w:p>
        </w:tc>
        <w:tc>
          <w:tcPr>
            <w:tcW w:w="5655" w:type="dxa"/>
            <w:tcBorders>
              <w:top w:val="single" w:sz="8" w:space="0" w:color="002B49"/>
              <w:left w:val="nil"/>
              <w:bottom w:val="single" w:sz="8" w:space="0" w:color="002B49"/>
              <w:right w:val="single" w:sz="8" w:space="0" w:color="002B49"/>
            </w:tcBorders>
            <w:tcMar>
              <w:right w:w="28" w:type="dxa"/>
            </w:tcMar>
            <w:hideMark/>
          </w:tcPr>
          <w:p w14:paraId="19A2B6D5" w14:textId="77777777" w:rsidR="00C94F0A" w:rsidRDefault="00C94F0A" w:rsidP="00E62C78">
            <w:pPr>
              <w:pStyle w:val="TableHeader"/>
              <w:cnfStyle w:val="100000000000" w:firstRow="1" w:lastRow="0" w:firstColumn="0" w:lastColumn="0" w:oddVBand="0" w:evenVBand="0" w:oddHBand="0" w:evenHBand="0" w:firstRowFirstColumn="0" w:firstRowLastColumn="0" w:lastRowFirstColumn="0" w:lastRowLastColumn="0"/>
            </w:pPr>
            <w:r>
              <w:t>Comments</w:t>
            </w:r>
          </w:p>
        </w:tc>
      </w:tr>
      <w:tr w:rsidR="00C94F0A" w14:paraId="448AB821"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single" w:sz="8" w:space="0" w:color="002B49"/>
              <w:bottom w:val="single" w:sz="8" w:space="0" w:color="002B49"/>
              <w:right w:val="single" w:sz="8" w:space="0" w:color="002B49"/>
            </w:tcBorders>
            <w:shd w:val="clear" w:color="auto" w:fill="156082" w:themeFill="accent1"/>
            <w:tcMar>
              <w:right w:w="28" w:type="dxa"/>
            </w:tcMar>
            <w:hideMark/>
          </w:tcPr>
          <w:p w14:paraId="279970D7" w14:textId="77777777" w:rsidR="00C94F0A" w:rsidRPr="00820A44" w:rsidRDefault="00C94F0A" w:rsidP="00E62C78">
            <w:pPr>
              <w:pStyle w:val="TableText"/>
              <w:rPr>
                <w:color w:val="FFFFFF" w:themeColor="background1"/>
                <w:kern w:val="2"/>
                <w:szCs w:val="18"/>
              </w:rPr>
            </w:pPr>
            <w:r w:rsidRPr="00820A44">
              <w:rPr>
                <w:bCs/>
                <w:color w:val="FFFFFF" w:themeColor="background1"/>
              </w:rPr>
              <w:t>Section 3: Security of Supply Standards in New Zealand’s Electricity Market</w:t>
            </w:r>
          </w:p>
        </w:tc>
      </w:tr>
      <w:tr w:rsidR="00C94F0A" w14:paraId="16D10AC4"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18C6A388" w14:textId="77777777" w:rsidR="00C94F0A" w:rsidRPr="00620553" w:rsidRDefault="00C94F0A" w:rsidP="00E62C78">
            <w:pPr>
              <w:pStyle w:val="TableText"/>
              <w:rPr>
                <w:color w:val="404040"/>
                <w:kern w:val="2"/>
                <w:szCs w:val="18"/>
              </w:rPr>
            </w:pPr>
            <w:r w:rsidRPr="00934AA3">
              <w:rPr>
                <w:b w:val="0"/>
                <w:color w:val="auto"/>
              </w:rPr>
              <w:t>Q3.1.</w:t>
            </w:r>
            <w:r>
              <w:rPr>
                <w:color w:val="auto"/>
              </w:rPr>
              <w:t xml:space="preserve"> </w:t>
            </w:r>
            <w:r w:rsidRPr="00934AA3">
              <w:rPr>
                <w:b w:val="0"/>
                <w:color w:val="auto"/>
              </w:rPr>
              <w:t>Do you consider that there are other changes in the electricity system context that the Authority should consider as part of the review of the security standards? If so, please explain these.</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177C4E35" w14:textId="77777777" w:rsidR="00C94F0A" w:rsidRPr="00820A44" w:rsidRDefault="00C94F0A" w:rsidP="00E62C78">
            <w:pPr>
              <w:pStyle w:val="TableText"/>
              <w:cnfStyle w:val="000000010000" w:firstRow="0" w:lastRow="0" w:firstColumn="0" w:lastColumn="0" w:oddVBand="0" w:evenVBand="0" w:oddHBand="0" w:evenHBand="1" w:firstRowFirstColumn="0" w:firstRowLastColumn="0" w:lastRowFirstColumn="0" w:lastRowLastColumn="0"/>
              <w:rPr>
                <w:color w:val="000000" w:themeColor="text1"/>
              </w:rPr>
            </w:pPr>
          </w:p>
        </w:tc>
      </w:tr>
      <w:tr w:rsidR="00C94F0A" w14:paraId="7066FD4C"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single" w:sz="8" w:space="0" w:color="002B49"/>
              <w:bottom w:val="single" w:sz="8" w:space="0" w:color="002B49"/>
              <w:right w:val="single" w:sz="8" w:space="0" w:color="002B49"/>
            </w:tcBorders>
            <w:shd w:val="clear" w:color="auto" w:fill="156082" w:themeFill="accent1"/>
            <w:tcMar>
              <w:right w:w="28" w:type="dxa"/>
            </w:tcMar>
            <w:hideMark/>
          </w:tcPr>
          <w:p w14:paraId="6C96CDED" w14:textId="77777777" w:rsidR="00C94F0A" w:rsidRPr="00820A44" w:rsidRDefault="00C94F0A" w:rsidP="00E62C78">
            <w:pPr>
              <w:pStyle w:val="TableText"/>
              <w:rPr>
                <w:color w:val="FFFFFF" w:themeColor="background1"/>
              </w:rPr>
            </w:pPr>
            <w:r w:rsidRPr="00820A44">
              <w:rPr>
                <w:bCs/>
                <w:color w:val="FFFFFF" w:themeColor="background1"/>
              </w:rPr>
              <w:t>Section 4: Winter Capacity Margin</w:t>
            </w:r>
          </w:p>
        </w:tc>
      </w:tr>
      <w:tr w:rsidR="00C94F0A" w14:paraId="4ED49FDD"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3A1044B8" w14:textId="77777777" w:rsidR="00C94F0A" w:rsidRPr="00394C30" w:rsidRDefault="00C94F0A" w:rsidP="00E62C78">
            <w:pPr>
              <w:pStyle w:val="TableText"/>
              <w:rPr>
                <w:b w:val="0"/>
                <w:bCs/>
                <w:color w:val="000000" w:themeColor="text1"/>
              </w:rPr>
            </w:pPr>
            <w:r w:rsidRPr="00394C30">
              <w:rPr>
                <w:b w:val="0"/>
                <w:bCs/>
                <w:color w:val="000000" w:themeColor="text1"/>
              </w:rPr>
              <w:t>Q4.1. Do you support modelling additional capacity for the WCM as BESS rather than thermal generation? If not, what technology or mix of technologies should be assumed and why?</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1D292747" w14:textId="77777777" w:rsidR="00C94F0A" w:rsidRPr="00820A44" w:rsidRDefault="00C94F0A" w:rsidP="00E62C78">
            <w:pPr>
              <w:pStyle w:val="TableText"/>
              <w:cnfStyle w:val="000000010000" w:firstRow="0" w:lastRow="0" w:firstColumn="0" w:lastColumn="0" w:oddVBand="0" w:evenVBand="0" w:oddHBand="0" w:evenHBand="1" w:firstRowFirstColumn="0" w:firstRowLastColumn="0" w:lastRowFirstColumn="0" w:lastRowLastColumn="0"/>
              <w:rPr>
                <w:color w:val="000000" w:themeColor="text1"/>
              </w:rPr>
            </w:pPr>
          </w:p>
        </w:tc>
      </w:tr>
      <w:tr w:rsidR="00C94F0A" w14:paraId="17B86F0B"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4E05CFA7" w14:textId="77777777" w:rsidR="00C94F0A" w:rsidRPr="00394C30" w:rsidRDefault="00C94F0A" w:rsidP="00E62C78">
            <w:pPr>
              <w:pStyle w:val="TableText"/>
              <w:rPr>
                <w:b w:val="0"/>
                <w:bCs/>
                <w:color w:val="000000" w:themeColor="text1"/>
              </w:rPr>
            </w:pPr>
            <w:r w:rsidRPr="00394C30">
              <w:rPr>
                <w:b w:val="0"/>
                <w:bCs/>
                <w:color w:val="000000" w:themeColor="text1"/>
              </w:rPr>
              <w:t>Q4.2. Do you agree with the proposed assumptions for how BESS would contribute to meeting peak demand? If not, what assumptions should be changed?</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4FFC28DC" w14:textId="77777777" w:rsidR="00C94F0A" w:rsidRPr="00820A44" w:rsidRDefault="00C94F0A" w:rsidP="00E62C78">
            <w:pPr>
              <w:pStyle w:val="TableText"/>
              <w:cnfStyle w:val="000000100000" w:firstRow="0" w:lastRow="0" w:firstColumn="0" w:lastColumn="0" w:oddVBand="0" w:evenVBand="0" w:oddHBand="1" w:evenHBand="0" w:firstRowFirstColumn="0" w:firstRowLastColumn="0" w:lastRowFirstColumn="0" w:lastRowLastColumn="0"/>
              <w:rPr>
                <w:color w:val="000000" w:themeColor="text1"/>
              </w:rPr>
            </w:pPr>
          </w:p>
        </w:tc>
      </w:tr>
      <w:tr w:rsidR="00C94F0A" w14:paraId="1B494DFF"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1988BAC9"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Q4.3. Do you support the proposed shortage cost curve for the WCM modelling? If not, what changes should be made and why?</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2D7276EE" w14:textId="77777777" w:rsidR="00C94F0A" w:rsidRPr="00820A44" w:rsidRDefault="00C94F0A" w:rsidP="00E62C78">
            <w:pPr>
              <w:cnfStyle w:val="000000010000" w:firstRow="0" w:lastRow="0" w:firstColumn="0" w:lastColumn="0" w:oddVBand="0" w:evenVBand="0" w:oddHBand="0" w:evenHBand="1" w:firstRowFirstColumn="0" w:firstRowLastColumn="0" w:lastRowFirstColumn="0" w:lastRowLastColumn="0"/>
            </w:pPr>
          </w:p>
        </w:tc>
      </w:tr>
      <w:tr w:rsidR="00C94F0A" w14:paraId="57166827"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6641F8B1"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Q4.4. Do you support separating reserve requirements from the WCM, so that the WCM represents surplus generating capacity after reserve requirements are met? If not, why not?</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0BEE7BF7"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18E5C7E9"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426D2B7C" w14:textId="77777777" w:rsidR="00C94F0A" w:rsidRDefault="00C94F0A" w:rsidP="00E62C78">
            <w:pPr>
              <w:pStyle w:val="TableText"/>
              <w:rPr>
                <w:bCs/>
                <w:color w:val="000000" w:themeColor="text1"/>
              </w:rPr>
            </w:pPr>
            <w:r w:rsidRPr="00394C30">
              <w:rPr>
                <w:b w:val="0"/>
                <w:bCs/>
                <w:color w:val="000000" w:themeColor="text1"/>
              </w:rPr>
              <w:t>Q4.5. Do you agree with the list of sensitivities being tested for the WCM? If not, why not?</w:t>
            </w:r>
          </w:p>
          <w:p w14:paraId="11A68D91" w14:textId="77777777" w:rsidR="00992F39" w:rsidRPr="00394C30" w:rsidRDefault="00992F39" w:rsidP="00E62C78">
            <w:pPr>
              <w:pStyle w:val="TableText"/>
              <w:rPr>
                <w:b w:val="0"/>
                <w:bCs/>
                <w:color w:val="000000" w:themeColor="text1"/>
                <w:kern w:val="2"/>
                <w:szCs w:val="18"/>
              </w:rPr>
            </w:pPr>
          </w:p>
        </w:tc>
        <w:tc>
          <w:tcPr>
            <w:tcW w:w="5655" w:type="dxa"/>
            <w:tcBorders>
              <w:top w:val="nil"/>
              <w:left w:val="nil"/>
              <w:bottom w:val="single" w:sz="8" w:space="0" w:color="002B49"/>
              <w:right w:val="single" w:sz="8" w:space="0" w:color="002B49"/>
            </w:tcBorders>
            <w:shd w:val="clear" w:color="auto" w:fill="D7E1EF"/>
            <w:tcMar>
              <w:right w:w="28" w:type="dxa"/>
            </w:tcMar>
            <w:hideMark/>
          </w:tcPr>
          <w:p w14:paraId="3D91AEA5" w14:textId="77777777" w:rsidR="00C94F0A" w:rsidRPr="00820A44" w:rsidRDefault="00C94F0A" w:rsidP="00E62C78">
            <w:pPr>
              <w:cnfStyle w:val="000000010000" w:firstRow="0" w:lastRow="0" w:firstColumn="0" w:lastColumn="0" w:oddVBand="0" w:evenVBand="0" w:oddHBand="0" w:evenHBand="1" w:firstRowFirstColumn="0" w:firstRowLastColumn="0" w:lastRowFirstColumn="0" w:lastRowLastColumn="0"/>
            </w:pPr>
          </w:p>
        </w:tc>
      </w:tr>
      <w:tr w:rsidR="00C94F0A" w14:paraId="35B29770"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4232F290"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Q4.6. Do you have any suggestions for additions to the WCM sensitivities? If so, please explain your reasoning behind their inclusion.</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37904BA4"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7E1778E9"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1F687AC2"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Q4.7. Are there any other changes to the WCM modelling approach, assumptions, or inputs that the Authority should consider? If so, please explain why.</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063A1A81" w14:textId="77777777" w:rsidR="00C94F0A" w:rsidRPr="00820A44" w:rsidRDefault="00C94F0A" w:rsidP="00E62C78">
            <w:pPr>
              <w:cnfStyle w:val="000000010000" w:firstRow="0" w:lastRow="0" w:firstColumn="0" w:lastColumn="0" w:oddVBand="0" w:evenVBand="0" w:oddHBand="0" w:evenHBand="1" w:firstRowFirstColumn="0" w:firstRowLastColumn="0" w:lastRowFirstColumn="0" w:lastRowLastColumn="0"/>
            </w:pPr>
          </w:p>
        </w:tc>
      </w:tr>
      <w:tr w:rsidR="00C94F0A" w14:paraId="4F448351"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776617FC" w14:textId="77777777" w:rsidR="00C94F0A" w:rsidRDefault="00C94F0A" w:rsidP="00E62C78">
            <w:pPr>
              <w:pStyle w:val="TableText"/>
              <w:rPr>
                <w:bCs/>
                <w:color w:val="000000" w:themeColor="text1"/>
              </w:rPr>
            </w:pPr>
            <w:r w:rsidRPr="00394C30">
              <w:rPr>
                <w:b w:val="0"/>
                <w:bCs/>
                <w:color w:val="000000" w:themeColor="text1"/>
              </w:rPr>
              <w:t>Q4.8. Do you have any comments on the WCM modelling results?</w:t>
            </w:r>
          </w:p>
          <w:p w14:paraId="65868FBC" w14:textId="77777777" w:rsidR="00992F39" w:rsidRPr="00394C30" w:rsidRDefault="00992F39" w:rsidP="00E62C78">
            <w:pPr>
              <w:pStyle w:val="TableText"/>
              <w:rPr>
                <w:b w:val="0"/>
                <w:bCs/>
                <w:color w:val="000000" w:themeColor="text1"/>
                <w:kern w:val="2"/>
                <w:szCs w:val="18"/>
              </w:rPr>
            </w:pPr>
          </w:p>
        </w:tc>
        <w:tc>
          <w:tcPr>
            <w:tcW w:w="5655" w:type="dxa"/>
            <w:tcBorders>
              <w:top w:val="nil"/>
              <w:left w:val="nil"/>
              <w:bottom w:val="single" w:sz="8" w:space="0" w:color="002B49"/>
              <w:right w:val="single" w:sz="8" w:space="0" w:color="002B49"/>
            </w:tcBorders>
            <w:shd w:val="clear" w:color="auto" w:fill="F5F5EE"/>
            <w:tcMar>
              <w:right w:w="28" w:type="dxa"/>
            </w:tcMar>
            <w:hideMark/>
          </w:tcPr>
          <w:p w14:paraId="7644FA55"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38CD3445"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3" w:type="dxa"/>
            <w:gridSpan w:val="2"/>
            <w:tcBorders>
              <w:top w:val="nil"/>
              <w:left w:val="single" w:sz="8" w:space="0" w:color="002B49"/>
              <w:bottom w:val="single" w:sz="8" w:space="0" w:color="002B49"/>
              <w:right w:val="single" w:sz="8" w:space="0" w:color="002B49"/>
            </w:tcBorders>
            <w:shd w:val="clear" w:color="auto" w:fill="156082" w:themeFill="accent1"/>
            <w:tcMar>
              <w:right w:w="28" w:type="dxa"/>
            </w:tcMar>
            <w:hideMark/>
          </w:tcPr>
          <w:p w14:paraId="126E9EC2" w14:textId="77777777" w:rsidR="00C94F0A" w:rsidRPr="00820A44" w:rsidRDefault="00C94F0A" w:rsidP="00E62C78">
            <w:pPr>
              <w:pStyle w:val="TableText"/>
              <w:rPr>
                <w:color w:val="000000" w:themeColor="text1"/>
                <w:kern w:val="2"/>
                <w:szCs w:val="18"/>
              </w:rPr>
            </w:pPr>
            <w:r w:rsidRPr="00820A44">
              <w:rPr>
                <w:bCs/>
                <w:color w:val="FFFFFF" w:themeColor="background1"/>
              </w:rPr>
              <w:t>Section 5: Winter Energy Margin</w:t>
            </w:r>
          </w:p>
        </w:tc>
      </w:tr>
      <w:tr w:rsidR="00C94F0A" w14:paraId="54B87DDF"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335B12F5"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 xml:space="preserve">Q5.1. Do you support modelling additional firm generation for the WEM as LNG-fuelled thermal </w:t>
            </w:r>
            <w:r w:rsidRPr="00394C30">
              <w:rPr>
                <w:b w:val="0"/>
                <w:bCs/>
                <w:color w:val="000000" w:themeColor="text1"/>
              </w:rPr>
              <w:lastRenderedPageBreak/>
              <w:t>generation? If not, what technology or fuel-cost assumption should be used and why?</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47F31D51"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0F55E439"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44C1BEDC"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Q5.2. Do you agree with the proposed base-case fuel assumptions for existing peaking plant, the Rankine units, Unit 5, and any new dry-year reserve generation? If not, what assumptions should be changed?</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57C3D882" w14:textId="77777777" w:rsidR="00C94F0A" w:rsidRPr="00820A44" w:rsidRDefault="00C94F0A" w:rsidP="00E62C78">
            <w:pPr>
              <w:cnfStyle w:val="000000010000" w:firstRow="0" w:lastRow="0" w:firstColumn="0" w:lastColumn="0" w:oddVBand="0" w:evenVBand="0" w:oddHBand="0" w:evenHBand="1" w:firstRowFirstColumn="0" w:firstRowLastColumn="0" w:lastRowFirstColumn="0" w:lastRowLastColumn="0"/>
            </w:pPr>
          </w:p>
        </w:tc>
      </w:tr>
      <w:tr w:rsidR="00C94F0A" w14:paraId="772F53BC"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6D210EE2"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Q5.3. Do you support including contingent storage in the WEM modelling framework? If not, why not?</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2844EC70"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0E512EDC"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6DAC4556"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Q5.4. Do you agree with applying a penalty cost to contingent storage so the model uses it only when lower-cost options have been exhausted? If not, how should contingent storage be treated?</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04ECDFC5" w14:textId="77777777" w:rsidR="00C94F0A" w:rsidRPr="00820A44" w:rsidRDefault="00C94F0A" w:rsidP="00E62C78">
            <w:pPr>
              <w:cnfStyle w:val="000000010000" w:firstRow="0" w:lastRow="0" w:firstColumn="0" w:lastColumn="0" w:oddVBand="0" w:evenVBand="0" w:oddHBand="0" w:evenHBand="1" w:firstRowFirstColumn="0" w:firstRowLastColumn="0" w:lastRowFirstColumn="0" w:lastRowLastColumn="0"/>
            </w:pPr>
          </w:p>
        </w:tc>
      </w:tr>
      <w:tr w:rsidR="00C94F0A" w14:paraId="5145DC21"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5B7F5A6E"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Q5.5. Do you support the proposed changes to the WEM shortage cost curve, including the treatment of contracted NZAS demand response? If not, what changes should be made and why?</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3FBD03C1"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69FDBA22"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001AAFBD"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Q5.6. Do you agree with the list of sensitivities being tested for the WEM? If not, why not?</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1AD49FA8" w14:textId="77777777" w:rsidR="00C94F0A" w:rsidRPr="00820A44" w:rsidRDefault="00C94F0A" w:rsidP="00E62C78">
            <w:pPr>
              <w:cnfStyle w:val="000000010000" w:firstRow="0" w:lastRow="0" w:firstColumn="0" w:lastColumn="0" w:oddVBand="0" w:evenVBand="0" w:oddHBand="0" w:evenHBand="1" w:firstRowFirstColumn="0" w:firstRowLastColumn="0" w:lastRowFirstColumn="0" w:lastRowLastColumn="0"/>
            </w:pPr>
          </w:p>
        </w:tc>
      </w:tr>
      <w:tr w:rsidR="00C94F0A" w14:paraId="04DB0563"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45DAAB3A"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Q5.7. Are there any other changes to the WEM modelling approach, assumptions, or inputs that the Authority should consider? If so, please explain why.</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70E7BA17"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00B55069"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616A5259"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Q5.8. Do you support removing the SI-WEM? If not, what role do you consider the SI-WEM should continue to play, and why?</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46E600B1" w14:textId="77777777" w:rsidR="00C94F0A" w:rsidRPr="00820A44" w:rsidRDefault="00C94F0A" w:rsidP="00E62C78">
            <w:pPr>
              <w:cnfStyle w:val="000000010000" w:firstRow="0" w:lastRow="0" w:firstColumn="0" w:lastColumn="0" w:oddVBand="0" w:evenVBand="0" w:oddHBand="0" w:evenHBand="1" w:firstRowFirstColumn="0" w:firstRowLastColumn="0" w:lastRowFirstColumn="0" w:lastRowLastColumn="0"/>
            </w:pPr>
          </w:p>
        </w:tc>
      </w:tr>
      <w:tr w:rsidR="00C94F0A" w14:paraId="45E67D30"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46DA71E9"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Q5.9. Are there circumstances where you consider the SI-WEM could provide a useful signal that would not be captured by the NZ-WEM or other security of supply monitoring? If so, please explain.</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4550C01A"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388ACD41"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3" w:type="dxa"/>
            <w:gridSpan w:val="2"/>
            <w:tcBorders>
              <w:top w:val="nil"/>
              <w:left w:val="single" w:sz="8" w:space="0" w:color="002B49"/>
              <w:bottom w:val="single" w:sz="8" w:space="0" w:color="002B49"/>
              <w:right w:val="single" w:sz="8" w:space="0" w:color="002B49"/>
            </w:tcBorders>
            <w:shd w:val="clear" w:color="auto" w:fill="156082" w:themeFill="accent1"/>
            <w:tcMar>
              <w:right w:w="28" w:type="dxa"/>
            </w:tcMar>
            <w:hideMark/>
          </w:tcPr>
          <w:p w14:paraId="365D68D0" w14:textId="77777777" w:rsidR="00C94F0A" w:rsidRPr="00820A44" w:rsidRDefault="00C94F0A" w:rsidP="00E62C78">
            <w:pPr>
              <w:pStyle w:val="TableText"/>
              <w:rPr>
                <w:color w:val="000000" w:themeColor="text1"/>
                <w:kern w:val="2"/>
                <w:szCs w:val="18"/>
              </w:rPr>
            </w:pPr>
            <w:r w:rsidRPr="00820A44">
              <w:rPr>
                <w:bCs/>
                <w:color w:val="FFFFFF" w:themeColor="background1"/>
              </w:rPr>
              <w:t>Section 6: Security Standards Assumptions Document</w:t>
            </w:r>
          </w:p>
        </w:tc>
      </w:tr>
      <w:tr w:rsidR="00C94F0A" w14:paraId="7AA81634" w14:textId="77777777" w:rsidTr="00E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F5F5EE"/>
            <w:tcMar>
              <w:right w:w="28" w:type="dxa"/>
            </w:tcMar>
            <w:hideMark/>
          </w:tcPr>
          <w:p w14:paraId="3FF0FA59" w14:textId="77777777" w:rsidR="00C94F0A" w:rsidRPr="00394C30" w:rsidRDefault="00C94F0A" w:rsidP="00E62C78">
            <w:pPr>
              <w:pStyle w:val="TableText"/>
              <w:rPr>
                <w:b w:val="0"/>
                <w:bCs/>
                <w:color w:val="000000" w:themeColor="text1"/>
                <w:kern w:val="2"/>
                <w:szCs w:val="18"/>
              </w:rPr>
            </w:pPr>
            <w:r w:rsidRPr="00394C30">
              <w:rPr>
                <w:b w:val="0"/>
                <w:bCs/>
                <w:color w:val="000000" w:themeColor="text1"/>
              </w:rPr>
              <w:t>Q6.1. Do you support the proposed interim changes to the SSAD for the 2027 SOSA, including clearer frameworks for generation pipeline assumptions and demand forecasting? If not, what changes should be made and why?</w:t>
            </w:r>
          </w:p>
        </w:tc>
        <w:tc>
          <w:tcPr>
            <w:tcW w:w="5655" w:type="dxa"/>
            <w:tcBorders>
              <w:top w:val="nil"/>
              <w:left w:val="nil"/>
              <w:bottom w:val="single" w:sz="8" w:space="0" w:color="002B49"/>
              <w:right w:val="single" w:sz="8" w:space="0" w:color="002B49"/>
            </w:tcBorders>
            <w:shd w:val="clear" w:color="auto" w:fill="F5F5EE"/>
            <w:tcMar>
              <w:right w:w="28" w:type="dxa"/>
            </w:tcMar>
            <w:hideMark/>
          </w:tcPr>
          <w:p w14:paraId="1AC109F7" w14:textId="77777777" w:rsidR="00C94F0A" w:rsidRPr="00820A44" w:rsidRDefault="00C94F0A" w:rsidP="00E62C78">
            <w:pPr>
              <w:cnfStyle w:val="000000100000" w:firstRow="0" w:lastRow="0" w:firstColumn="0" w:lastColumn="0" w:oddVBand="0" w:evenVBand="0" w:oddHBand="1" w:evenHBand="0" w:firstRowFirstColumn="0" w:firstRowLastColumn="0" w:lastRowFirstColumn="0" w:lastRowLastColumn="0"/>
            </w:pPr>
          </w:p>
        </w:tc>
      </w:tr>
      <w:tr w:rsidR="00C94F0A" w14:paraId="4CA126DE" w14:textId="77777777" w:rsidTr="00E62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8" w:type="dxa"/>
            <w:tcBorders>
              <w:top w:val="nil"/>
              <w:left w:val="single" w:sz="8" w:space="0" w:color="002B49"/>
              <w:bottom w:val="single" w:sz="8" w:space="0" w:color="002B49"/>
              <w:right w:val="single" w:sz="8" w:space="0" w:color="002B49"/>
            </w:tcBorders>
            <w:shd w:val="clear" w:color="auto" w:fill="D7E1EF"/>
            <w:tcMar>
              <w:right w:w="28" w:type="dxa"/>
            </w:tcMar>
            <w:hideMark/>
          </w:tcPr>
          <w:p w14:paraId="1D68C20D" w14:textId="77777777" w:rsidR="00C94F0A" w:rsidRPr="00934AA3" w:rsidRDefault="00C94F0A" w:rsidP="00E62C78">
            <w:pPr>
              <w:pStyle w:val="TableText"/>
              <w:rPr>
                <w:b w:val="0"/>
                <w:color w:val="404040"/>
                <w:kern w:val="2"/>
                <w:szCs w:val="18"/>
              </w:rPr>
            </w:pPr>
            <w:r w:rsidRPr="00934AA3">
              <w:rPr>
                <w:b w:val="0"/>
                <w:color w:val="auto"/>
              </w:rPr>
              <w:t>Q6.2. Do you have any suggestions for additional matters that could be added to the SSAD for the 2027 SOSA? If so, please explain what these are and why these should be added.</w:t>
            </w:r>
          </w:p>
        </w:tc>
        <w:tc>
          <w:tcPr>
            <w:tcW w:w="5655" w:type="dxa"/>
            <w:tcBorders>
              <w:top w:val="nil"/>
              <w:left w:val="nil"/>
              <w:bottom w:val="single" w:sz="8" w:space="0" w:color="002B49"/>
              <w:right w:val="single" w:sz="8" w:space="0" w:color="002B49"/>
            </w:tcBorders>
            <w:shd w:val="clear" w:color="auto" w:fill="D7E1EF"/>
            <w:tcMar>
              <w:right w:w="28" w:type="dxa"/>
            </w:tcMar>
            <w:hideMark/>
          </w:tcPr>
          <w:p w14:paraId="56E93B9F" w14:textId="77777777" w:rsidR="00C94F0A" w:rsidRPr="00820A44" w:rsidRDefault="00C94F0A" w:rsidP="00E62C78">
            <w:pPr>
              <w:cnfStyle w:val="000000010000" w:firstRow="0" w:lastRow="0" w:firstColumn="0" w:lastColumn="0" w:oddVBand="0" w:evenVBand="0" w:oddHBand="0" w:evenHBand="1" w:firstRowFirstColumn="0" w:firstRowLastColumn="0" w:lastRowFirstColumn="0" w:lastRowLastColumn="0"/>
            </w:pPr>
          </w:p>
        </w:tc>
      </w:tr>
    </w:tbl>
    <w:p w14:paraId="157E9A63" w14:textId="77777777" w:rsidR="00741EF9" w:rsidRDefault="00741EF9"/>
    <w:sectPr w:rsidR="00741EF9" w:rsidSect="00992F39">
      <w:headerReference w:type="even" r:id="rId12"/>
      <w:headerReference w:type="default" r:id="rId13"/>
      <w:footerReference w:type="even" r:id="rId14"/>
      <w:footerReference w:type="default" r:id="rId15"/>
      <w:headerReference w:type="first" r:id="rId16"/>
      <w:footerReference w:type="first" r:id="rId17"/>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DE7E5" w14:textId="77777777" w:rsidR="007001C2" w:rsidRDefault="007001C2" w:rsidP="00992F39">
      <w:pPr>
        <w:spacing w:after="0" w:line="240" w:lineRule="auto"/>
      </w:pPr>
      <w:r>
        <w:separator/>
      </w:r>
    </w:p>
  </w:endnote>
  <w:endnote w:type="continuationSeparator" w:id="0">
    <w:p w14:paraId="7E858A47" w14:textId="77777777" w:rsidR="007001C2" w:rsidRDefault="007001C2" w:rsidP="00992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E2B2" w14:textId="77777777" w:rsidR="00992F39" w:rsidRDefault="00992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7543" w14:textId="77777777" w:rsidR="00992F39" w:rsidRDefault="00992F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DBC8" w14:textId="77777777" w:rsidR="00992F39" w:rsidRDefault="00992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D4AC1" w14:textId="77777777" w:rsidR="007001C2" w:rsidRDefault="007001C2" w:rsidP="00992F39">
      <w:pPr>
        <w:spacing w:after="0" w:line="240" w:lineRule="auto"/>
      </w:pPr>
      <w:r>
        <w:separator/>
      </w:r>
    </w:p>
  </w:footnote>
  <w:footnote w:type="continuationSeparator" w:id="0">
    <w:p w14:paraId="7430B239" w14:textId="77777777" w:rsidR="007001C2" w:rsidRDefault="007001C2" w:rsidP="00992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AD8F" w14:textId="77777777" w:rsidR="00992F39" w:rsidRDefault="00992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757D1" w14:textId="65278328" w:rsidR="00992F39" w:rsidRDefault="00992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8360" w14:textId="61AB6DB9" w:rsidR="00992F39" w:rsidRDefault="00992F39">
    <w:pPr>
      <w:pStyle w:val="Header"/>
    </w:pPr>
    <w:r>
      <w:rPr>
        <w:noProof/>
        <w14:ligatures w14:val="standardContextual"/>
      </w:rPr>
      <w:drawing>
        <wp:anchor distT="0" distB="0" distL="114300" distR="114300" simplePos="0" relativeHeight="251660288" behindDoc="1" locked="0" layoutInCell="1" allowOverlap="1" wp14:anchorId="089D2E99" wp14:editId="44C40DDF">
          <wp:simplePos x="0" y="0"/>
          <wp:positionH relativeFrom="column">
            <wp:posOffset>4351020</wp:posOffset>
          </wp:positionH>
          <wp:positionV relativeFrom="paragraph">
            <wp:posOffset>-374015</wp:posOffset>
          </wp:positionV>
          <wp:extent cx="1584960" cy="762635"/>
          <wp:effectExtent l="0" t="0" r="0" b="0"/>
          <wp:wrapTight wrapText="bothSides">
            <wp:wrapPolygon edited="0">
              <wp:start x="2077" y="4316"/>
              <wp:lineTo x="2337" y="16726"/>
              <wp:lineTo x="17654" y="16726"/>
              <wp:lineTo x="18952" y="15647"/>
              <wp:lineTo x="19471" y="14028"/>
              <wp:lineTo x="19212" y="5396"/>
              <wp:lineTo x="17654" y="4316"/>
              <wp:lineTo x="2077" y="4316"/>
            </wp:wrapPolygon>
          </wp:wrapTight>
          <wp:docPr id="1203615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336080" name="Picture 526336080"/>
                  <pic:cNvPicPr/>
                </pic:nvPicPr>
                <pic:blipFill>
                  <a:blip r:embed="rId1">
                    <a:extLst>
                      <a:ext uri="{28A0092B-C50C-407E-A947-70E740481C1C}">
                        <a14:useLocalDpi xmlns:a14="http://schemas.microsoft.com/office/drawing/2010/main" val="0"/>
                      </a:ext>
                    </a:extLst>
                  </a:blip>
                  <a:stretch>
                    <a:fillRect/>
                  </a:stretch>
                </pic:blipFill>
                <pic:spPr>
                  <a:xfrm>
                    <a:off x="0" y="0"/>
                    <a:ext cx="1584960" cy="7626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B33C7"/>
    <w:multiLevelType w:val="multilevel"/>
    <w:tmpl w:val="565A561E"/>
    <w:lvl w:ilvl="0">
      <w:start w:val="3"/>
      <w:numFmt w:val="upperLetter"/>
      <w:pStyle w:val="Appendix1"/>
      <w:lvlText w:val="Appendix %1"/>
      <w:lvlJc w:val="left"/>
      <w:pPr>
        <w:tabs>
          <w:tab w:val="num" w:pos="2438"/>
        </w:tabs>
        <w:ind w:left="2438" w:hanging="1814"/>
      </w:pPr>
      <w:rPr>
        <w:rFonts w:ascii="Arial Bold" w:hAnsi="Arial Bold" w:hint="default"/>
        <w:b/>
        <w:i w:val="0"/>
        <w:color w:val="002B49"/>
        <w:sz w:val="32"/>
      </w:rPr>
    </w:lvl>
    <w:lvl w:ilvl="1">
      <w:start w:val="1"/>
      <w:numFmt w:val="none"/>
      <w:pStyle w:val="Appendix2"/>
      <w:lvlText w:val=""/>
      <w:lvlJc w:val="left"/>
      <w:pPr>
        <w:tabs>
          <w:tab w:val="num" w:pos="1248"/>
        </w:tabs>
        <w:ind w:left="1248" w:firstLine="0"/>
      </w:pPr>
      <w:rPr>
        <w:rFonts w:hint="default"/>
      </w:rPr>
    </w:lvl>
    <w:lvl w:ilvl="2">
      <w:start w:val="1"/>
      <w:numFmt w:val="decimal"/>
      <w:lvlRestart w:val="1"/>
      <w:pStyle w:val="AppendixNumbered"/>
      <w:lvlText w:val="%1.%2%3"/>
      <w:lvlJc w:val="left"/>
      <w:pPr>
        <w:tabs>
          <w:tab w:val="num" w:pos="1248"/>
        </w:tabs>
        <w:ind w:left="1248" w:hanging="624"/>
      </w:pPr>
      <w:rPr>
        <w:rFonts w:hint="default"/>
      </w:rPr>
    </w:lvl>
    <w:lvl w:ilvl="3">
      <w:start w:val="1"/>
      <w:numFmt w:val="lowerLetter"/>
      <w:pStyle w:val="AppendixNumbered-Level2"/>
      <w:lvlText w:val="(%4)"/>
      <w:lvlJc w:val="left"/>
      <w:pPr>
        <w:tabs>
          <w:tab w:val="num" w:pos="1701"/>
        </w:tabs>
        <w:ind w:left="1701" w:hanging="425"/>
      </w:pPr>
      <w:rPr>
        <w:rFonts w:hint="default"/>
      </w:rPr>
    </w:lvl>
    <w:lvl w:ilvl="4">
      <w:start w:val="1"/>
      <w:numFmt w:val="lowerRoman"/>
      <w:lvlText w:val="(%5)"/>
      <w:lvlJc w:val="left"/>
      <w:pPr>
        <w:tabs>
          <w:tab w:val="num" w:pos="2155"/>
        </w:tabs>
        <w:ind w:left="2155" w:hanging="425"/>
      </w:pPr>
      <w:rPr>
        <w:rFonts w:hint="default"/>
      </w:rPr>
    </w:lvl>
    <w:lvl w:ilvl="5">
      <w:start w:val="1"/>
      <w:numFmt w:val="bullet"/>
      <w:lvlText w:val=""/>
      <w:lvlJc w:val="left"/>
      <w:pPr>
        <w:tabs>
          <w:tab w:val="num" w:pos="2609"/>
        </w:tabs>
        <w:ind w:left="2609" w:hanging="426"/>
      </w:pPr>
      <w:rPr>
        <w:rFonts w:ascii="Symbol" w:hAnsi="Symbol" w:hint="default"/>
      </w:rPr>
    </w:lvl>
    <w:lvl w:ilvl="6">
      <w:start w:val="1"/>
      <w:numFmt w:val="bullet"/>
      <w:lvlText w:val=""/>
      <w:lvlJc w:val="left"/>
      <w:pPr>
        <w:tabs>
          <w:tab w:val="num" w:pos="3062"/>
        </w:tabs>
        <w:ind w:left="3062" w:hanging="425"/>
      </w:pPr>
      <w:rPr>
        <w:rFonts w:ascii="Symbol" w:hAnsi="Symbol" w:hint="default"/>
      </w:rPr>
    </w:lvl>
    <w:lvl w:ilvl="7">
      <w:start w:val="1"/>
      <w:numFmt w:val="none"/>
      <w:lvlText w:val=""/>
      <w:lvlJc w:val="left"/>
      <w:pPr>
        <w:tabs>
          <w:tab w:val="num" w:pos="3062"/>
        </w:tabs>
        <w:ind w:left="3062" w:hanging="425"/>
      </w:pPr>
      <w:rPr>
        <w:rFonts w:hint="default"/>
      </w:rPr>
    </w:lvl>
    <w:lvl w:ilvl="8">
      <w:start w:val="1"/>
      <w:numFmt w:val="none"/>
      <w:lvlText w:val=""/>
      <w:lvlJc w:val="right"/>
      <w:pPr>
        <w:tabs>
          <w:tab w:val="num" w:pos="3062"/>
        </w:tabs>
        <w:ind w:left="3062" w:firstLine="0"/>
      </w:pPr>
      <w:rPr>
        <w:rFonts w:hint="default"/>
      </w:rPr>
    </w:lvl>
  </w:abstractNum>
  <w:num w:numId="1" w16cid:durableId="1909921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F0A"/>
    <w:rsid w:val="002A71B5"/>
    <w:rsid w:val="003E3128"/>
    <w:rsid w:val="004C128E"/>
    <w:rsid w:val="00515BBD"/>
    <w:rsid w:val="00585D1E"/>
    <w:rsid w:val="007001C2"/>
    <w:rsid w:val="00722056"/>
    <w:rsid w:val="00741EF9"/>
    <w:rsid w:val="00747716"/>
    <w:rsid w:val="00856426"/>
    <w:rsid w:val="00992F39"/>
    <w:rsid w:val="009E2B5D"/>
    <w:rsid w:val="00A82F35"/>
    <w:rsid w:val="00B52AB1"/>
    <w:rsid w:val="00C94F0A"/>
    <w:rsid w:val="00E92D7C"/>
    <w:rsid w:val="00ED29BF"/>
    <w:rsid w:val="00F541B5"/>
    <w:rsid w:val="00FC2A22"/>
    <w:rsid w:val="00FF34BE"/>
    <w:rsid w:val="7698D9F1"/>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43B9E"/>
  <w15:chartTrackingRefBased/>
  <w15:docId w15:val="{C694FEC3-1764-403E-8E74-FA59EE34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NZ"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F0A"/>
    <w:pPr>
      <w:spacing w:after="120" w:line="269" w:lineRule="auto"/>
      <w:ind w:left="624"/>
    </w:pPr>
    <w:rPr>
      <w:rFonts w:cstheme="majorBidi"/>
      <w:color w:val="000000" w:themeColor="text1"/>
      <w:kern w:val="0"/>
      <w:sz w:val="22"/>
      <w:szCs w:val="22"/>
      <w:lang w:bidi="ar-SA"/>
      <w14:ligatures w14:val="none"/>
    </w:rPr>
  </w:style>
  <w:style w:type="paragraph" w:styleId="Heading1">
    <w:name w:val="heading 1"/>
    <w:basedOn w:val="Normal"/>
    <w:next w:val="Normal"/>
    <w:link w:val="Heading1Char"/>
    <w:uiPriority w:val="9"/>
    <w:qFormat/>
    <w:rsid w:val="00C94F0A"/>
    <w:pPr>
      <w:keepNext/>
      <w:keepLines/>
      <w:spacing w:before="360" w:after="80"/>
      <w:outlineLvl w:val="0"/>
    </w:pPr>
    <w:rPr>
      <w:rFonts w:asciiTheme="majorHAnsi" w:eastAsiaTheme="majorEastAsia" w:hAnsiTheme="majorHAnsi"/>
      <w:color w:val="0F4761" w:themeColor="accent1" w:themeShade="BF"/>
      <w:sz w:val="40"/>
      <w:szCs w:val="50"/>
    </w:rPr>
  </w:style>
  <w:style w:type="paragraph" w:styleId="Heading2">
    <w:name w:val="heading 2"/>
    <w:basedOn w:val="Normal"/>
    <w:next w:val="Normal"/>
    <w:link w:val="Heading2Char"/>
    <w:uiPriority w:val="9"/>
    <w:semiHidden/>
    <w:unhideWhenUsed/>
    <w:qFormat/>
    <w:rsid w:val="00C94F0A"/>
    <w:pPr>
      <w:keepNext/>
      <w:keepLines/>
      <w:spacing w:before="160" w:after="80"/>
      <w:outlineLvl w:val="1"/>
    </w:pPr>
    <w:rPr>
      <w:rFonts w:asciiTheme="majorHAnsi" w:eastAsiaTheme="majorEastAsia" w:hAnsiTheme="majorHAnsi"/>
      <w:color w:val="0F4761" w:themeColor="accent1" w:themeShade="BF"/>
      <w:sz w:val="32"/>
      <w:szCs w:val="40"/>
    </w:rPr>
  </w:style>
  <w:style w:type="paragraph" w:styleId="Heading3">
    <w:name w:val="heading 3"/>
    <w:basedOn w:val="Normal"/>
    <w:next w:val="Normal"/>
    <w:link w:val="Heading3Char"/>
    <w:uiPriority w:val="9"/>
    <w:semiHidden/>
    <w:unhideWhenUsed/>
    <w:qFormat/>
    <w:rsid w:val="00C94F0A"/>
    <w:pPr>
      <w:keepNext/>
      <w:keepLines/>
      <w:spacing w:before="160" w:after="80"/>
      <w:outlineLvl w:val="2"/>
    </w:pPr>
    <w:rPr>
      <w:rFonts w:eastAsiaTheme="majorEastAsia"/>
      <w:color w:val="0F4761" w:themeColor="accent1" w:themeShade="BF"/>
      <w:sz w:val="28"/>
      <w:szCs w:val="35"/>
    </w:rPr>
  </w:style>
  <w:style w:type="paragraph" w:styleId="Heading4">
    <w:name w:val="heading 4"/>
    <w:basedOn w:val="Normal"/>
    <w:next w:val="Normal"/>
    <w:link w:val="Heading4Char"/>
    <w:uiPriority w:val="9"/>
    <w:semiHidden/>
    <w:unhideWhenUsed/>
    <w:qFormat/>
    <w:rsid w:val="00C94F0A"/>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C94F0A"/>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C94F0A"/>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C94F0A"/>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C94F0A"/>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C94F0A"/>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F0A"/>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C94F0A"/>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C94F0A"/>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C94F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F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F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F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F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F0A"/>
    <w:rPr>
      <w:rFonts w:eastAsiaTheme="majorEastAsia" w:cstheme="majorBidi"/>
      <w:color w:val="272727" w:themeColor="text1" w:themeTint="D8"/>
    </w:rPr>
  </w:style>
  <w:style w:type="paragraph" w:styleId="Title">
    <w:name w:val="Title"/>
    <w:basedOn w:val="Normal"/>
    <w:next w:val="Normal"/>
    <w:link w:val="TitleChar"/>
    <w:uiPriority w:val="10"/>
    <w:qFormat/>
    <w:rsid w:val="00C94F0A"/>
    <w:pPr>
      <w:spacing w:after="80" w:line="240" w:lineRule="auto"/>
      <w:contextualSpacing/>
    </w:pPr>
    <w:rPr>
      <w:rFonts w:asciiTheme="majorHAnsi" w:eastAsiaTheme="majorEastAsia" w:hAnsiTheme="majorHAnsi"/>
      <w:spacing w:val="-10"/>
      <w:kern w:val="28"/>
      <w:sz w:val="56"/>
      <w:szCs w:val="71"/>
    </w:rPr>
  </w:style>
  <w:style w:type="character" w:customStyle="1" w:styleId="TitleChar">
    <w:name w:val="Title Char"/>
    <w:basedOn w:val="DefaultParagraphFont"/>
    <w:link w:val="Title"/>
    <w:uiPriority w:val="10"/>
    <w:rsid w:val="00C94F0A"/>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94F0A"/>
    <w:pPr>
      <w:numPr>
        <w:ilvl w:val="1"/>
      </w:numPr>
      <w:ind w:left="624"/>
    </w:pPr>
    <w:rPr>
      <w:rFonts w:eastAsiaTheme="majorEastAsia"/>
      <w:color w:val="595959" w:themeColor="text1" w:themeTint="A6"/>
      <w:spacing w:val="15"/>
      <w:sz w:val="28"/>
      <w:szCs w:val="35"/>
    </w:rPr>
  </w:style>
  <w:style w:type="character" w:customStyle="1" w:styleId="SubtitleChar">
    <w:name w:val="Subtitle Char"/>
    <w:basedOn w:val="DefaultParagraphFont"/>
    <w:link w:val="Subtitle"/>
    <w:uiPriority w:val="11"/>
    <w:rsid w:val="00C94F0A"/>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94F0A"/>
    <w:pPr>
      <w:spacing w:before="160"/>
      <w:jc w:val="center"/>
    </w:pPr>
    <w:rPr>
      <w:i/>
      <w:iCs/>
      <w:color w:val="404040" w:themeColor="text1" w:themeTint="BF"/>
    </w:rPr>
  </w:style>
  <w:style w:type="character" w:customStyle="1" w:styleId="QuoteChar">
    <w:name w:val="Quote Char"/>
    <w:basedOn w:val="DefaultParagraphFont"/>
    <w:link w:val="Quote"/>
    <w:uiPriority w:val="29"/>
    <w:rsid w:val="00C94F0A"/>
    <w:rPr>
      <w:i/>
      <w:iCs/>
      <w:color w:val="404040" w:themeColor="text1" w:themeTint="BF"/>
    </w:rPr>
  </w:style>
  <w:style w:type="paragraph" w:styleId="ListParagraph">
    <w:name w:val="List Paragraph"/>
    <w:basedOn w:val="Normal"/>
    <w:uiPriority w:val="34"/>
    <w:qFormat/>
    <w:rsid w:val="00C94F0A"/>
    <w:pPr>
      <w:ind w:left="720"/>
      <w:contextualSpacing/>
    </w:pPr>
  </w:style>
  <w:style w:type="character" w:styleId="IntenseEmphasis">
    <w:name w:val="Intense Emphasis"/>
    <w:basedOn w:val="DefaultParagraphFont"/>
    <w:uiPriority w:val="21"/>
    <w:qFormat/>
    <w:rsid w:val="00C94F0A"/>
    <w:rPr>
      <w:i/>
      <w:iCs/>
      <w:color w:val="0F4761" w:themeColor="accent1" w:themeShade="BF"/>
    </w:rPr>
  </w:style>
  <w:style w:type="paragraph" w:styleId="IntenseQuote">
    <w:name w:val="Intense Quote"/>
    <w:basedOn w:val="Normal"/>
    <w:next w:val="Normal"/>
    <w:link w:val="IntenseQuoteChar"/>
    <w:uiPriority w:val="30"/>
    <w:qFormat/>
    <w:rsid w:val="00C94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F0A"/>
    <w:rPr>
      <w:i/>
      <w:iCs/>
      <w:color w:val="0F4761" w:themeColor="accent1" w:themeShade="BF"/>
    </w:rPr>
  </w:style>
  <w:style w:type="character" w:styleId="IntenseReference">
    <w:name w:val="Intense Reference"/>
    <w:basedOn w:val="DefaultParagraphFont"/>
    <w:uiPriority w:val="32"/>
    <w:qFormat/>
    <w:rsid w:val="00C94F0A"/>
    <w:rPr>
      <w:b/>
      <w:bCs/>
      <w:smallCaps/>
      <w:color w:val="0F4761" w:themeColor="accent1" w:themeShade="BF"/>
      <w:spacing w:val="5"/>
    </w:rPr>
  </w:style>
  <w:style w:type="paragraph" w:customStyle="1" w:styleId="Appendix1">
    <w:name w:val="Appendix 1"/>
    <w:basedOn w:val="Heading1"/>
    <w:next w:val="Appendix2"/>
    <w:uiPriority w:val="10"/>
    <w:qFormat/>
    <w:rsid w:val="00C94F0A"/>
    <w:pPr>
      <w:pageBreakBefore/>
      <w:numPr>
        <w:numId w:val="1"/>
      </w:numPr>
      <w:tabs>
        <w:tab w:val="left" w:pos="624"/>
      </w:tabs>
      <w:spacing w:before="0" w:after="120"/>
      <w:contextualSpacing/>
    </w:pPr>
    <w:rPr>
      <w:b/>
      <w:color w:val="002B49"/>
      <w:sz w:val="32"/>
      <w:szCs w:val="40"/>
    </w:rPr>
  </w:style>
  <w:style w:type="character" w:styleId="Hyperlink">
    <w:name w:val="Hyperlink"/>
    <w:uiPriority w:val="99"/>
    <w:unhideWhenUsed/>
    <w:rsid w:val="00C94F0A"/>
    <w:rPr>
      <w:color w:val="4EA72E" w:themeColor="accent6"/>
      <w:u w:val="single"/>
    </w:rPr>
  </w:style>
  <w:style w:type="paragraph" w:customStyle="1" w:styleId="Appendix2">
    <w:name w:val="Appendix 2"/>
    <w:basedOn w:val="Heading2"/>
    <w:next w:val="AppendixNumbered"/>
    <w:uiPriority w:val="10"/>
    <w:qFormat/>
    <w:rsid w:val="00C94F0A"/>
    <w:pPr>
      <w:numPr>
        <w:ilvl w:val="1"/>
        <w:numId w:val="1"/>
      </w:numPr>
      <w:spacing w:before="180" w:after="120"/>
      <w:contextualSpacing/>
    </w:pPr>
    <w:rPr>
      <w:b/>
      <w:color w:val="4EA72E" w:themeColor="accent6"/>
      <w:sz w:val="28"/>
      <w:szCs w:val="32"/>
    </w:rPr>
  </w:style>
  <w:style w:type="paragraph" w:customStyle="1" w:styleId="TableText">
    <w:name w:val="Table Text"/>
    <w:basedOn w:val="Normal"/>
    <w:qFormat/>
    <w:rsid w:val="00C94F0A"/>
    <w:pPr>
      <w:spacing w:before="40" w:after="40" w:line="240" w:lineRule="auto"/>
      <w:ind w:left="0"/>
      <w:contextualSpacing/>
    </w:pPr>
    <w:rPr>
      <w:color w:val="404040" w:themeColor="text1" w:themeTint="BF"/>
      <w:sz w:val="18"/>
      <w:szCs w:val="19"/>
    </w:rPr>
  </w:style>
  <w:style w:type="table" w:customStyle="1" w:styleId="EATable">
    <w:name w:val="EA Table"/>
    <w:basedOn w:val="TableGridLight"/>
    <w:rsid w:val="00C94F0A"/>
    <w:rPr>
      <w:rFonts w:cstheme="majorBidi"/>
      <w:kern w:val="0"/>
      <w:sz w:val="20"/>
      <w:szCs w:val="20"/>
      <w:lang w:eastAsia="en-NZ" w:bidi="ar-SA"/>
      <w14:shadow w14:blurRad="0" w14:dist="0" w14:dir="0" w14:sx="0" w14:sy="0" w14:kx="0" w14:ky="0" w14:algn="ctr">
        <w14:srgbClr w14:val="000000"/>
      </w14:shadow>
      <w14:reflection w14:blurRad="0" w14:stA="100000" w14:stPos="0" w14:endA="0" w14:endPos="0" w14:dist="0" w14:dir="0" w14:fadeDir="0" w14:sx="0" w14:sy="0" w14:kx="0" w14:ky="0" w14:algn="b"/>
      <w14:ligatures w14:val="none"/>
    </w:rPr>
    <w:tblPr>
      <w:tblStyleRowBandSize w:val="1"/>
      <w:tblStyleColBandSize w:val="1"/>
      <w:tblInd w:w="595" w:type="dxa"/>
      <w:tblBorders>
        <w:top w:val="single" w:sz="4" w:space="0" w:color="002B49"/>
        <w:left w:val="single" w:sz="4" w:space="0" w:color="002B49"/>
        <w:bottom w:val="single" w:sz="4" w:space="0" w:color="002B49"/>
        <w:right w:val="single" w:sz="4" w:space="0" w:color="002B49"/>
        <w:insideH w:val="single" w:sz="4" w:space="0" w:color="002B49"/>
        <w:insideV w:val="single" w:sz="4" w:space="0" w:color="002B49"/>
      </w:tblBorders>
      <w:tblCellMar>
        <w:top w:w="28" w:type="dxa"/>
        <w:left w:w="45" w:type="dxa"/>
        <w:bottom w:w="28" w:type="dxa"/>
        <w:right w:w="28" w:type="dxa"/>
      </w:tblCellMar>
    </w:tblPr>
    <w:tcPr>
      <w:vAlign w:val="center"/>
    </w:tcPr>
    <w:tblStylePr w:type="firstRow">
      <w:pPr>
        <w:wordWrap/>
        <w:spacing w:beforeLines="0" w:before="0" w:beforeAutospacing="0" w:afterLines="0" w:after="0" w:afterAutospacing="0" w:line="240" w:lineRule="auto"/>
        <w:ind w:leftChars="0" w:left="0" w:rightChars="0" w:right="0"/>
        <w:contextualSpacing/>
        <w:mirrorIndents/>
        <w:jc w:val="left"/>
        <w:outlineLvl w:val="9"/>
      </w:pPr>
      <w:rPr>
        <w:rFonts w:asciiTheme="minorHAnsi" w:hAnsiTheme="minorHAnsi"/>
        <w:b/>
        <w:i w:val="0"/>
        <w:color w:val="FFFFFF" w:themeColor="background1"/>
        <w:sz w:val="19"/>
      </w:rPr>
      <w:tblPr/>
      <w:tcPr>
        <w:tcBorders>
          <w:top w:val="single" w:sz="4" w:space="0" w:color="002B49"/>
          <w:left w:val="single" w:sz="4" w:space="0" w:color="002B49"/>
          <w:bottom w:val="single" w:sz="4" w:space="0" w:color="002B49"/>
          <w:right w:val="single" w:sz="4" w:space="0" w:color="002B49"/>
          <w:insideH w:val="single" w:sz="4" w:space="0" w:color="002B49"/>
          <w:insideV w:val="single" w:sz="4" w:space="0" w:color="002B49"/>
          <w:tl2br w:val="nil"/>
          <w:tr2bl w:val="nil"/>
        </w:tcBorders>
        <w:shd w:val="clear" w:color="auto" w:fill="002B49"/>
        <w:tcMar>
          <w:top w:w="57" w:type="dxa"/>
          <w:left w:w="45" w:type="dxa"/>
          <w:bottom w:w="57" w:type="dxa"/>
          <w:right w:w="0" w:type="nil"/>
        </w:tcMar>
      </w:tcPr>
    </w:tblStylePr>
    <w:tblStylePr w:type="lastRow">
      <w:pPr>
        <w:wordWrap/>
        <w:spacing w:beforeLines="0" w:before="0" w:beforeAutospacing="0" w:afterLines="0" w:after="0" w:afterAutospacing="0" w:line="240" w:lineRule="auto"/>
        <w:ind w:leftChars="0" w:left="0" w:rightChars="0" w:right="0" w:firstLineChars="0" w:firstLine="0"/>
        <w:contextualSpacing/>
        <w:mirrorIndents/>
        <w:jc w:val="left"/>
        <w:outlineLvl w:val="9"/>
      </w:pPr>
      <w:rPr>
        <w:rFonts w:asciiTheme="minorHAnsi" w:hAnsiTheme="minorHAnsi"/>
        <w:i/>
        <w:iCs/>
        <w:sz w:val="18"/>
      </w:rPr>
      <w:tblPr/>
      <w:tcPr>
        <w:tcBorders>
          <w:tl2br w:val="none" w:sz="0" w:space="0" w:color="auto"/>
          <w:tr2bl w:val="none" w:sz="0" w:space="0" w:color="auto"/>
        </w:tcBorders>
        <w:tcMar>
          <w:top w:w="57" w:type="dxa"/>
          <w:left w:w="45" w:type="dxa"/>
          <w:bottom w:w="57" w:type="dxa"/>
          <w:right w:w="0" w:type="nil"/>
        </w:tcMar>
      </w:tcPr>
    </w:tblStylePr>
    <w:tblStylePr w:type="firstCol">
      <w:pPr>
        <w:wordWrap/>
        <w:spacing w:beforeLines="0" w:before="0" w:beforeAutospacing="0" w:afterLines="0" w:after="0" w:afterAutospacing="0" w:line="240" w:lineRule="auto"/>
        <w:ind w:leftChars="0" w:left="0" w:rightChars="0" w:right="0"/>
        <w:contextualSpacing/>
        <w:mirrorIndents/>
        <w:jc w:val="left"/>
        <w:outlineLvl w:val="9"/>
      </w:pPr>
      <w:rPr>
        <w:rFonts w:asciiTheme="minorHAnsi" w:hAnsiTheme="minorHAnsi"/>
        <w:b/>
        <w:i w:val="0"/>
        <w:color w:val="FFFFFF" w:themeColor="background1"/>
        <w:sz w:val="19"/>
      </w:rPr>
      <w:tblPr/>
      <w:tcPr>
        <w:shd w:val="clear" w:color="auto" w:fill="002B49"/>
        <w:tcMar>
          <w:top w:w="57" w:type="dxa"/>
          <w:left w:w="45" w:type="dxa"/>
          <w:bottom w:w="57" w:type="dxa"/>
          <w:right w:w="0" w:type="nil"/>
        </w:tcMar>
      </w:tcPr>
    </w:tblStylePr>
    <w:tblStylePr w:type="lastCol">
      <w:pPr>
        <w:wordWrap/>
        <w:spacing w:beforeLines="0" w:before="0" w:beforeAutospacing="0" w:afterLines="0" w:after="0" w:afterAutospacing="0" w:line="240" w:lineRule="auto"/>
        <w:ind w:leftChars="0" w:left="0" w:rightChars="0" w:right="0"/>
        <w:contextualSpacing/>
        <w:mirrorIndents/>
        <w:jc w:val="left"/>
        <w:outlineLvl w:val="9"/>
      </w:pPr>
      <w:rPr>
        <w:i/>
        <w:iCs/>
      </w:rPr>
      <w:tblPr/>
      <w:tcPr>
        <w:tcBorders>
          <w:tl2br w:val="none" w:sz="0" w:space="0" w:color="auto"/>
          <w:tr2bl w:val="none" w:sz="0" w:space="0" w:color="auto"/>
        </w:tcBorders>
      </w:tcPr>
    </w:tblStylePr>
    <w:tblStylePr w:type="band1Vert">
      <w:pPr>
        <w:wordWrap/>
        <w:spacing w:beforeLines="0" w:before="0" w:beforeAutospacing="0" w:afterLines="0" w:after="0" w:afterAutospacing="0" w:line="240" w:lineRule="auto"/>
        <w:ind w:leftChars="0" w:left="0" w:rightChars="0" w:right="0"/>
        <w:contextualSpacing/>
        <w:mirrorIndents/>
        <w:jc w:val="left"/>
        <w:outlineLvl w:val="9"/>
      </w:pPr>
    </w:tblStylePr>
    <w:tblStylePr w:type="band2Vert">
      <w:pPr>
        <w:wordWrap/>
        <w:spacing w:beforeLines="0" w:before="0" w:beforeAutospacing="0" w:afterLines="0" w:after="0" w:afterAutospacing="0" w:line="240" w:lineRule="auto"/>
        <w:ind w:leftChars="0" w:left="0" w:rightChars="0" w:right="0"/>
        <w:contextualSpacing/>
        <w:mirrorIndents/>
        <w:jc w:val="left"/>
        <w:outlineLvl w:val="9"/>
      </w:pPr>
    </w:tblStylePr>
    <w:tblStylePr w:type="band1Horz">
      <w:pPr>
        <w:wordWrap/>
        <w:spacing w:beforeLines="0" w:before="0" w:beforeAutospacing="0" w:afterLines="0" w:after="0" w:afterAutospacing="0" w:line="240" w:lineRule="auto"/>
        <w:ind w:leftChars="0" w:left="0" w:rightChars="0" w:right="0"/>
        <w:contextualSpacing/>
        <w:mirrorIndents/>
        <w:jc w:val="left"/>
        <w:outlineLvl w:val="9"/>
      </w:pPr>
      <w:rPr>
        <w:rFonts w:asciiTheme="minorHAnsi" w:hAnsiTheme="minorHAnsi"/>
        <w:color w:val="auto"/>
        <w:sz w:val="18"/>
      </w:rPr>
      <w:tblPr/>
      <w:tcPr>
        <w:shd w:val="clear" w:color="auto" w:fill="C1F0C7" w:themeFill="accent3" w:themeFillTint="33"/>
        <w:vAlign w:val="top"/>
      </w:tcPr>
    </w:tblStylePr>
    <w:tblStylePr w:type="band2Horz">
      <w:pPr>
        <w:wordWrap/>
        <w:spacing w:beforeLines="0" w:before="0" w:beforeAutospacing="0" w:afterLines="0" w:after="0" w:afterAutospacing="0" w:line="240" w:lineRule="auto"/>
        <w:ind w:leftChars="0" w:left="0" w:rightChars="0" w:right="0"/>
        <w:contextualSpacing/>
        <w:mirrorIndents/>
        <w:jc w:val="left"/>
        <w:outlineLvl w:val="9"/>
      </w:pPr>
      <w:rPr>
        <w:rFonts w:asciiTheme="minorHAnsi" w:hAnsiTheme="minorHAnsi"/>
        <w:color w:val="auto"/>
        <w:sz w:val="18"/>
      </w:rPr>
      <w:tblPr/>
      <w:tcPr>
        <w:shd w:val="clear" w:color="auto" w:fill="D9F2D0" w:themeFill="accent6" w:themeFillTint="33"/>
      </w:tcPr>
    </w:tblStylePr>
    <w:tblStylePr w:type="neCell">
      <w:pPr>
        <w:wordWrap/>
        <w:spacing w:beforeLines="0" w:before="0" w:beforeAutospacing="0" w:afterLines="0" w:after="0" w:afterAutospacing="0" w:line="240" w:lineRule="auto"/>
      </w:pPr>
    </w:tblStylePr>
  </w:style>
  <w:style w:type="paragraph" w:customStyle="1" w:styleId="AppendixNumbered">
    <w:name w:val="Appendix Numbered"/>
    <w:basedOn w:val="Normal"/>
    <w:uiPriority w:val="10"/>
    <w:qFormat/>
    <w:rsid w:val="00C94F0A"/>
    <w:pPr>
      <w:numPr>
        <w:ilvl w:val="2"/>
        <w:numId w:val="1"/>
      </w:numPr>
    </w:pPr>
  </w:style>
  <w:style w:type="paragraph" w:customStyle="1" w:styleId="AppendixNumbered-Level2">
    <w:name w:val="Appendix Numbered - Level 2"/>
    <w:basedOn w:val="Normal"/>
    <w:uiPriority w:val="10"/>
    <w:unhideWhenUsed/>
    <w:qFormat/>
    <w:rsid w:val="00C94F0A"/>
    <w:pPr>
      <w:numPr>
        <w:ilvl w:val="3"/>
        <w:numId w:val="1"/>
      </w:numPr>
    </w:pPr>
  </w:style>
  <w:style w:type="character" w:customStyle="1" w:styleId="Bold">
    <w:name w:val="Bold"/>
    <w:basedOn w:val="DefaultParagraphFont"/>
    <w:uiPriority w:val="2"/>
    <w:qFormat/>
    <w:rsid w:val="00C94F0A"/>
    <w:rPr>
      <w:b/>
    </w:rPr>
  </w:style>
  <w:style w:type="paragraph" w:customStyle="1" w:styleId="TableHeader">
    <w:name w:val="Table Header"/>
    <w:basedOn w:val="TableText"/>
    <w:qFormat/>
    <w:rsid w:val="00C94F0A"/>
    <w:pPr>
      <w:spacing w:before="0" w:after="0"/>
    </w:pPr>
    <w:rPr>
      <w:color w:val="FFFFFF" w:themeColor="background1"/>
      <w:sz w:val="19"/>
    </w:rPr>
  </w:style>
  <w:style w:type="paragraph" w:customStyle="1" w:styleId="ExecSumm-Normal">
    <w:name w:val="Exec Summ - Normal"/>
    <w:basedOn w:val="Normal"/>
    <w:uiPriority w:val="14"/>
    <w:qFormat/>
    <w:rsid w:val="00C94F0A"/>
    <w:pPr>
      <w:ind w:left="0"/>
    </w:pPr>
    <w:rPr>
      <w:lang w:val="en-US"/>
    </w:rPr>
  </w:style>
  <w:style w:type="character" w:customStyle="1" w:styleId="Normal-reset">
    <w:name w:val="Normal - reset"/>
    <w:basedOn w:val="DefaultParagraphFont"/>
    <w:uiPriority w:val="1"/>
    <w:qFormat/>
    <w:rsid w:val="00C94F0A"/>
  </w:style>
  <w:style w:type="table" w:styleId="TableGridLight">
    <w:name w:val="Grid Table Light"/>
    <w:basedOn w:val="TableNormal"/>
    <w:uiPriority w:val="40"/>
    <w:rsid w:val="00C94F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992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F39"/>
    <w:rPr>
      <w:rFonts w:cstheme="majorBidi"/>
      <w:color w:val="000000" w:themeColor="text1"/>
      <w:kern w:val="0"/>
      <w:sz w:val="22"/>
      <w:szCs w:val="22"/>
      <w:lang w:bidi="ar-SA"/>
      <w14:ligatures w14:val="none"/>
    </w:rPr>
  </w:style>
  <w:style w:type="paragraph" w:styleId="Footer">
    <w:name w:val="footer"/>
    <w:basedOn w:val="Normal"/>
    <w:link w:val="FooterChar"/>
    <w:uiPriority w:val="99"/>
    <w:unhideWhenUsed/>
    <w:rsid w:val="00992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F39"/>
    <w:rPr>
      <w:rFonts w:cstheme="majorBidi"/>
      <w:color w:val="000000" w:themeColor="text1"/>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perationsconsult@ea.govt.n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0D64899DCC4E50BFD804582607E248"/>
        <w:category>
          <w:name w:val="General"/>
          <w:gallery w:val="placeholder"/>
        </w:category>
        <w:types>
          <w:type w:val="bbPlcHdr"/>
        </w:types>
        <w:behaviors>
          <w:behavior w:val="content"/>
        </w:behaviors>
        <w:guid w:val="{3682FC71-A363-49F8-97DD-9BF103D30AB1}"/>
      </w:docPartPr>
      <w:docPartBody>
        <w:p w:rsidR="002964E2" w:rsidRDefault="00F541B5" w:rsidP="00F541B5">
          <w:pPr>
            <w:pStyle w:val="610D64899DCC4E50BFD804582607E248"/>
          </w:pPr>
          <w:r w:rsidRPr="006F33C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1B5"/>
    <w:rsid w:val="001329E5"/>
    <w:rsid w:val="00220DA2"/>
    <w:rsid w:val="002964E2"/>
    <w:rsid w:val="00722056"/>
    <w:rsid w:val="00730FCA"/>
    <w:rsid w:val="007521C9"/>
    <w:rsid w:val="00B52AB1"/>
    <w:rsid w:val="00E92D7C"/>
    <w:rsid w:val="00F541B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41B5"/>
    <w:rPr>
      <w:color w:val="666666"/>
    </w:rPr>
  </w:style>
  <w:style w:type="paragraph" w:customStyle="1" w:styleId="610D64899DCC4E50BFD804582607E248">
    <w:name w:val="610D64899DCC4E50BFD804582607E248"/>
    <w:rsid w:val="00F541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63a9b7-a56c-4dec-8856-116a4d676a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54E2866C10554A980861F615930AA5" ma:contentTypeVersion="12" ma:contentTypeDescription="Create a new document." ma:contentTypeScope="" ma:versionID="fc257c268936a8d19f1ca7ff30b3993b">
  <xsd:schema xmlns:xsd="http://www.w3.org/2001/XMLSchema" xmlns:xs="http://www.w3.org/2001/XMLSchema" xmlns:p="http://schemas.microsoft.com/office/2006/metadata/properties" xmlns:ns2="487b971e-ba44-4364-b37a-c77a2095f412" xmlns:ns3="ed63a9b7-a56c-4dec-8856-116a4d676aaa" targetNamespace="http://schemas.microsoft.com/office/2006/metadata/properties" ma:root="true" ma:fieldsID="7b65d617368528444a031ea3d9f73a7a" ns2:_="" ns3:_="">
    <xsd:import namespace="487b971e-ba44-4364-b37a-c77a2095f412"/>
    <xsd:import namespace="ed63a9b7-a56c-4dec-8856-116a4d676a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b971e-ba44-4364-b37a-c77a2095f4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d63a9b7-a56c-4dec-8856-116a4d676a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c1b479d-2f4c-4731-ac2b-718bffb3d6e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1AD1EE-7A4B-4FEE-9FBC-CE44D413F789}">
  <ds:schemaRefs>
    <ds:schemaRef ds:uri="http://schemas.microsoft.com/office/2006/metadata/properties"/>
    <ds:schemaRef ds:uri="http://schemas.microsoft.com/office/infopath/2007/PartnerControls"/>
    <ds:schemaRef ds:uri="ed63a9b7-a56c-4dec-8856-116a4d676aaa"/>
  </ds:schemaRefs>
</ds:datastoreItem>
</file>

<file path=customXml/itemProps2.xml><?xml version="1.0" encoding="utf-8"?>
<ds:datastoreItem xmlns:ds="http://schemas.openxmlformats.org/officeDocument/2006/customXml" ds:itemID="{3D4EC83B-CAAB-4EEA-9B76-CF16E1688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b971e-ba44-4364-b37a-c77a2095f412"/>
    <ds:schemaRef ds:uri="ed63a9b7-a56c-4dec-8856-116a4d676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32AB30-0451-4BE1-A9EE-CD1F7C1CF8DB}">
  <ds:schemaRefs>
    <ds:schemaRef ds:uri="http://schemas.microsoft.com/sharepoint/events"/>
  </ds:schemaRefs>
</ds:datastoreItem>
</file>

<file path=customXml/itemProps4.xml><?xml version="1.0" encoding="utf-8"?>
<ds:datastoreItem xmlns:ds="http://schemas.openxmlformats.org/officeDocument/2006/customXml" ds:itemID="{AAC4F3FC-7596-4C18-B120-A6E672CF3738}">
  <ds:schemaRefs>
    <ds:schemaRef ds:uri="http://schemas.microsoft.com/sharepoint/v3/contenttype/forms"/>
  </ds:schemaRefs>
</ds:datastoreItem>
</file>

<file path=docMetadata/LabelInfo.xml><?xml version="1.0" encoding="utf-8"?>
<clbl:labelList xmlns:clbl="http://schemas.microsoft.com/office/2020/mipLabelMetadata">
  <clbl:label id="{114d662c-557e-43a0-9ef4-ea4730eb3732}" enabled="1" method="Privileged" siteId="{01ce6efc-7935-414f-b831-2b1d356f92e4}"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2966</Characters>
  <Application>Microsoft Office Word</Application>
  <DocSecurity>0</DocSecurity>
  <Lines>123</Lines>
  <Paragraphs>37</Paragraphs>
  <ScaleCrop>false</ScaleCrop>
  <Company>Electricity Authority</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Otton</dc:creator>
  <cp:keywords/>
  <dc:description/>
  <cp:lastModifiedBy>Louise Pearson</cp:lastModifiedBy>
  <cp:revision>3</cp:revision>
  <dcterms:created xsi:type="dcterms:W3CDTF">2026-10-05T20:37:00Z</dcterms:created>
  <dcterms:modified xsi:type="dcterms:W3CDTF">2026-10-05T20:37:00Z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0x0101003D54E2866C10554A980861F615930AA5</vt:lpwstr>
  </property>
</Properties>
</file>